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39DFD4">
      <w:pPr>
        <w:keepNext/>
        <w:keepLines w:val="0"/>
        <w:pageBreakBefore/>
        <w:widowControl w:val="0"/>
        <w:kinsoku/>
        <w:wordWrap/>
        <w:overflowPunct/>
        <w:topLinePunct w:val="0"/>
        <w:autoSpaceDE/>
        <w:autoSpaceDN/>
        <w:bidi w:val="0"/>
        <w:adjustRightInd/>
        <w:snapToGrid/>
        <w:ind w:right="641"/>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附件4</w:t>
      </w:r>
    </w:p>
    <w:p w14:paraId="51F9E54B">
      <w:pPr>
        <w:ind w:right="640"/>
        <w:rPr>
          <w:rFonts w:hint="default" w:ascii="Times New Roman" w:hAnsi="Times New Roman" w:eastAsia="仿宋" w:cs="Times New Roman"/>
          <w:color w:val="auto"/>
          <w:sz w:val="21"/>
          <w:szCs w:val="21"/>
        </w:rPr>
      </w:pPr>
    </w:p>
    <w:p w14:paraId="38DEF1FC">
      <w:pPr>
        <w:jc w:val="center"/>
        <w:rPr>
          <w:rStyle w:val="6"/>
          <w:rFonts w:hint="eastAsia" w:ascii="方正小标宋简体" w:hAnsi="方正小标宋简体" w:eastAsia="方正小标宋简体" w:cs="方正小标宋简体"/>
          <w:color w:val="auto"/>
          <w:sz w:val="36"/>
          <w:szCs w:val="36"/>
        </w:rPr>
      </w:pPr>
      <w:r>
        <w:rPr>
          <w:rStyle w:val="6"/>
          <w:rFonts w:hint="eastAsia" w:ascii="方正小标宋简体" w:hAnsi="方正小标宋简体" w:eastAsia="方正小标宋简体" w:cs="方正小标宋简体"/>
          <w:color w:val="auto"/>
          <w:sz w:val="36"/>
          <w:szCs w:val="36"/>
        </w:rPr>
        <w:t>20</w:t>
      </w:r>
      <w:r>
        <w:rPr>
          <w:rStyle w:val="6"/>
          <w:rFonts w:hint="eastAsia" w:ascii="方正小标宋简体" w:hAnsi="方正小标宋简体" w:eastAsia="方正小标宋简体" w:cs="方正小标宋简体"/>
          <w:color w:val="auto"/>
          <w:sz w:val="36"/>
          <w:szCs w:val="36"/>
          <w:lang w:val="en-US" w:eastAsia="zh-CN"/>
        </w:rPr>
        <w:t>25</w:t>
      </w:r>
      <w:r>
        <w:rPr>
          <w:rStyle w:val="6"/>
          <w:rFonts w:hint="eastAsia" w:ascii="方正小标宋简体" w:hAnsi="方正小标宋简体" w:eastAsia="方正小标宋简体" w:cs="方正小标宋简体"/>
          <w:color w:val="auto"/>
          <w:sz w:val="36"/>
          <w:szCs w:val="36"/>
        </w:rPr>
        <w:t>年江西省互联网企业</w:t>
      </w:r>
      <w:r>
        <w:rPr>
          <w:rStyle w:val="6"/>
          <w:rFonts w:hint="eastAsia" w:ascii="方正小标宋简体" w:hAnsi="方正小标宋简体" w:eastAsia="方正小标宋简体" w:cs="方正小标宋简体"/>
          <w:color w:val="auto"/>
          <w:sz w:val="36"/>
          <w:szCs w:val="36"/>
          <w:lang w:val="en-US" w:eastAsia="zh-CN"/>
        </w:rPr>
        <w:t>2</w:t>
      </w:r>
      <w:r>
        <w:rPr>
          <w:rStyle w:val="6"/>
          <w:rFonts w:hint="eastAsia" w:ascii="方正小标宋简体" w:hAnsi="方正小标宋简体" w:eastAsia="方正小标宋简体" w:cs="方正小标宋简体"/>
          <w:color w:val="auto"/>
          <w:sz w:val="36"/>
          <w:szCs w:val="36"/>
        </w:rPr>
        <w:t>0强申报表填表说明</w:t>
      </w:r>
    </w:p>
    <w:p w14:paraId="42126FA7">
      <w:pPr>
        <w:jc w:val="center"/>
        <w:rPr>
          <w:rFonts w:hint="default" w:ascii="Times New Roman" w:hAnsi="Times New Roman" w:eastAsia="黑体" w:cs="Times New Roman"/>
          <w:color w:val="auto"/>
          <w:sz w:val="21"/>
          <w:szCs w:val="21"/>
        </w:rPr>
      </w:pPr>
    </w:p>
    <w:p w14:paraId="03ABD342">
      <w:pPr>
        <w:numPr>
          <w:ilvl w:val="0"/>
          <w:numId w:val="1"/>
        </w:numPr>
        <w:ind w:firstLine="640" w:firstLineChars="200"/>
        <w:rPr>
          <w:rFonts w:ascii="仿宋" w:hAnsi="仿宋" w:eastAsia="仿宋" w:cs="仿宋"/>
          <w:sz w:val="32"/>
          <w:szCs w:val="22"/>
        </w:rPr>
      </w:pPr>
      <w:r>
        <w:rPr>
          <w:rFonts w:ascii="仿宋" w:hAnsi="仿宋" w:eastAsia="仿宋" w:cs="仿宋"/>
          <w:sz w:val="32"/>
          <w:szCs w:val="22"/>
        </w:rPr>
        <w:t>企业</w:t>
      </w:r>
      <w:r>
        <w:rPr>
          <w:rFonts w:hint="eastAsia" w:ascii="仿宋" w:hAnsi="仿宋" w:eastAsia="仿宋" w:cs="仿宋"/>
          <w:sz w:val="32"/>
          <w:szCs w:val="22"/>
        </w:rPr>
        <w:t>中文</w:t>
      </w:r>
      <w:r>
        <w:rPr>
          <w:rFonts w:ascii="仿宋" w:hAnsi="仿宋" w:eastAsia="仿宋" w:cs="仿宋"/>
          <w:sz w:val="32"/>
          <w:szCs w:val="22"/>
        </w:rPr>
        <w:t>名称：请填</w:t>
      </w:r>
      <w:r>
        <w:rPr>
          <w:rFonts w:hint="eastAsia" w:ascii="仿宋" w:hAnsi="仿宋" w:eastAsia="仿宋" w:cs="仿宋"/>
          <w:sz w:val="32"/>
          <w:szCs w:val="22"/>
        </w:rPr>
        <w:t>写贵企业在互联网企业综合实力评估结果上展现的名称，推荐使用集团名称。</w:t>
      </w:r>
    </w:p>
    <w:p w14:paraId="236260E1">
      <w:pPr>
        <w:numPr>
          <w:ilvl w:val="0"/>
          <w:numId w:val="1"/>
        </w:numPr>
        <w:ind w:firstLine="640" w:firstLineChars="200"/>
        <w:rPr>
          <w:rFonts w:ascii="仿宋" w:hAnsi="仿宋" w:eastAsia="仿宋" w:cs="仿宋"/>
          <w:sz w:val="32"/>
          <w:szCs w:val="22"/>
        </w:rPr>
      </w:pPr>
      <w:r>
        <w:rPr>
          <w:rFonts w:hint="eastAsia" w:ascii="仿宋" w:hAnsi="仿宋" w:eastAsia="仿宋" w:cs="仿宋"/>
          <w:sz w:val="32"/>
          <w:szCs w:val="22"/>
        </w:rPr>
        <w:t>企业性质：请从“国有”、“非国有”两种性质中选一项填写。“国有”包括国有及国有控股企业、国有实际控制企业。具体可参照国务院国有资产监督管理委员会公布的《企业国有资产交易监督管理办法》中第一章第四条。</w:t>
      </w:r>
    </w:p>
    <w:p w14:paraId="48FAFD64">
      <w:pPr>
        <w:numPr>
          <w:ilvl w:val="0"/>
          <w:numId w:val="1"/>
        </w:numPr>
        <w:ind w:firstLine="640" w:firstLineChars="200"/>
        <w:rPr>
          <w:rFonts w:ascii="仿宋" w:hAnsi="仿宋" w:eastAsia="仿宋" w:cs="仿宋"/>
          <w:sz w:val="32"/>
          <w:szCs w:val="22"/>
        </w:rPr>
      </w:pPr>
      <w:r>
        <w:rPr>
          <w:rFonts w:hint="eastAsia" w:ascii="仿宋" w:hAnsi="仿宋" w:eastAsia="仿宋" w:cs="仿宋"/>
          <w:sz w:val="32"/>
          <w:szCs w:val="22"/>
        </w:rPr>
        <w:t>上市地点：如企业股票已经上市挂牌交易，则请填写挂牌交易所；如股票尚未上市挂牌，则请填写“未上市”。</w:t>
      </w:r>
    </w:p>
    <w:p w14:paraId="34BD05F6">
      <w:pPr>
        <w:numPr>
          <w:ilvl w:val="0"/>
          <w:numId w:val="1"/>
        </w:numPr>
        <w:ind w:firstLine="640" w:firstLineChars="200"/>
        <w:rPr>
          <w:rFonts w:ascii="仿宋" w:hAnsi="仿宋" w:eastAsia="仿宋" w:cs="仿宋"/>
          <w:sz w:val="32"/>
          <w:szCs w:val="22"/>
        </w:rPr>
      </w:pPr>
      <w:r>
        <w:rPr>
          <w:rFonts w:hint="eastAsia" w:ascii="仿宋" w:hAnsi="仿宋" w:eastAsia="仿宋" w:cs="仿宋"/>
          <w:sz w:val="32"/>
          <w:szCs w:val="22"/>
        </w:rPr>
        <w:t>注册地址：请填写位于国内的主要实体的注册地址。请勿填写境外地址。</w:t>
      </w:r>
    </w:p>
    <w:p w14:paraId="5AC3FAF7">
      <w:pPr>
        <w:numPr>
          <w:ilvl w:val="0"/>
          <w:numId w:val="1"/>
        </w:numPr>
        <w:ind w:firstLine="640" w:firstLineChars="200"/>
        <w:rPr>
          <w:rFonts w:ascii="仿宋" w:hAnsi="仿宋" w:eastAsia="仿宋" w:cs="仿宋"/>
          <w:sz w:val="32"/>
          <w:szCs w:val="22"/>
        </w:rPr>
      </w:pPr>
      <w:r>
        <w:rPr>
          <w:rFonts w:hint="eastAsia" w:ascii="仿宋" w:hAnsi="仿宋" w:eastAsia="仿宋" w:cs="仿宋"/>
          <w:sz w:val="32"/>
          <w:szCs w:val="22"/>
        </w:rPr>
        <w:t>资产总额：指企业拥有或控制的全部资产，这些资产包括流动资产、长期投资、固定资产、无形及递延资产、其他长期资产等。</w:t>
      </w:r>
    </w:p>
    <w:p w14:paraId="7AF9D47F">
      <w:pPr>
        <w:numPr>
          <w:ilvl w:val="0"/>
          <w:numId w:val="1"/>
        </w:numPr>
        <w:ind w:firstLine="640" w:firstLineChars="200"/>
        <w:rPr>
          <w:rFonts w:ascii="仿宋" w:hAnsi="仿宋" w:eastAsia="仿宋" w:cs="仿宋"/>
          <w:sz w:val="32"/>
          <w:szCs w:val="22"/>
        </w:rPr>
      </w:pPr>
      <w:r>
        <w:rPr>
          <w:rFonts w:hint="eastAsia" w:ascii="仿宋" w:hAnsi="仿宋" w:eastAsia="仿宋" w:cs="仿宋"/>
          <w:sz w:val="32"/>
          <w:szCs w:val="22"/>
        </w:rPr>
        <w:t>流动资产：指在1年或者超过1年的一个营业周期内变现或耗用的资产，主要包括现金、银行存款、交易性金融资产、应收款项、存货等。</w:t>
      </w:r>
    </w:p>
    <w:p w14:paraId="337CF2A3">
      <w:pPr>
        <w:numPr>
          <w:ilvl w:val="0"/>
          <w:numId w:val="1"/>
        </w:numPr>
        <w:ind w:firstLine="640" w:firstLineChars="200"/>
        <w:rPr>
          <w:rFonts w:ascii="仿宋" w:hAnsi="仿宋" w:eastAsia="仿宋" w:cs="仿宋"/>
          <w:sz w:val="32"/>
          <w:szCs w:val="22"/>
        </w:rPr>
      </w:pPr>
      <w:r>
        <w:rPr>
          <w:rFonts w:hint="eastAsia" w:ascii="仿宋" w:hAnsi="仿宋" w:eastAsia="仿宋" w:cs="仿宋"/>
          <w:sz w:val="32"/>
          <w:szCs w:val="22"/>
        </w:rPr>
        <w:t>流动负债：指在1年内或者超过1年的一个营业周期内需要偿还的债务合计，其中包括短期借款、应付及预收款项、应付工资、应交税金和应交利润等。</w:t>
      </w:r>
    </w:p>
    <w:p w14:paraId="6CE85B08">
      <w:pPr>
        <w:numPr>
          <w:ilvl w:val="0"/>
          <w:numId w:val="1"/>
        </w:numPr>
        <w:ind w:firstLine="640" w:firstLineChars="200"/>
        <w:rPr>
          <w:rFonts w:ascii="仿宋" w:hAnsi="仿宋" w:eastAsia="仿宋" w:cs="仿宋"/>
          <w:sz w:val="32"/>
          <w:szCs w:val="22"/>
        </w:rPr>
      </w:pPr>
      <w:r>
        <w:rPr>
          <w:rFonts w:hint="eastAsia" w:ascii="仿宋" w:hAnsi="仿宋" w:eastAsia="仿宋" w:cs="仿宋"/>
          <w:sz w:val="32"/>
          <w:szCs w:val="22"/>
        </w:rPr>
        <w:t>负债总额：企业在周期内流动负债和非流动负债合计。</w:t>
      </w:r>
    </w:p>
    <w:p w14:paraId="3D0E535D">
      <w:pPr>
        <w:numPr>
          <w:ilvl w:val="0"/>
          <w:numId w:val="1"/>
        </w:numPr>
        <w:ind w:firstLine="640" w:firstLineChars="200"/>
        <w:rPr>
          <w:rFonts w:ascii="仿宋" w:hAnsi="仿宋" w:eastAsia="仿宋" w:cs="仿宋"/>
          <w:sz w:val="32"/>
          <w:szCs w:val="22"/>
        </w:rPr>
      </w:pPr>
      <w:r>
        <w:rPr>
          <w:rFonts w:hint="eastAsia" w:ascii="仿宋" w:hAnsi="仿宋" w:eastAsia="仿宋" w:cs="仿宋"/>
          <w:sz w:val="32"/>
          <w:szCs w:val="22"/>
        </w:rPr>
        <w:t>营业收入：包括企业的主营业务和其他业务收入、境内和境外的收入。不含营业外收入，不含增值税。</w:t>
      </w:r>
    </w:p>
    <w:p w14:paraId="0DE7BABF">
      <w:pPr>
        <w:numPr>
          <w:ilvl w:val="0"/>
          <w:numId w:val="1"/>
        </w:numPr>
        <w:ind w:firstLine="640" w:firstLineChars="200"/>
        <w:rPr>
          <w:rFonts w:ascii="仿宋" w:hAnsi="仿宋" w:eastAsia="仿宋" w:cs="仿宋"/>
          <w:sz w:val="32"/>
          <w:szCs w:val="22"/>
        </w:rPr>
      </w:pPr>
      <w:r>
        <w:rPr>
          <w:rFonts w:hint="eastAsia" w:ascii="仿宋" w:hAnsi="仿宋" w:eastAsia="仿宋" w:cs="仿宋"/>
          <w:sz w:val="32"/>
          <w:szCs w:val="22"/>
        </w:rPr>
        <w:t>互联网业务收入：企业通过互联网开展的业务实现的收入。通过互联网开展的业务包括但不限于互联网信息服务、互联网接入服务、互联网数据中心业务、内容分发网络业务、互联网域名解析服务、在线数据处理与交易处理业务、互联网资源协作服务业务、互联网虚拟专用网业务。</w:t>
      </w:r>
    </w:p>
    <w:p w14:paraId="0308D96A">
      <w:pPr>
        <w:numPr>
          <w:ilvl w:val="0"/>
          <w:numId w:val="1"/>
        </w:numPr>
        <w:ind w:firstLine="640" w:firstLineChars="200"/>
        <w:rPr>
          <w:rFonts w:ascii="仿宋" w:hAnsi="仿宋" w:eastAsia="仿宋" w:cs="仿宋"/>
          <w:sz w:val="32"/>
          <w:szCs w:val="22"/>
        </w:rPr>
      </w:pPr>
      <w:r>
        <w:rPr>
          <w:rFonts w:hint="eastAsia" w:ascii="仿宋" w:hAnsi="仿宋" w:eastAsia="仿宋" w:cs="仿宋"/>
          <w:sz w:val="32"/>
          <w:szCs w:val="22"/>
        </w:rPr>
        <w:t>境外互联网业务收入：来自中国境外的，通过互联网开展的业务实现的收入。</w:t>
      </w:r>
    </w:p>
    <w:p w14:paraId="7BE62723">
      <w:pPr>
        <w:numPr>
          <w:ilvl w:val="0"/>
          <w:numId w:val="1"/>
        </w:numPr>
        <w:ind w:firstLine="640" w:firstLineChars="200"/>
        <w:rPr>
          <w:rFonts w:ascii="仿宋" w:hAnsi="仿宋" w:eastAsia="仿宋" w:cs="仿宋"/>
          <w:sz w:val="32"/>
          <w:szCs w:val="22"/>
        </w:rPr>
      </w:pPr>
      <w:r>
        <w:rPr>
          <w:rFonts w:hint="eastAsia" w:ascii="仿宋" w:hAnsi="仿宋" w:eastAsia="仿宋" w:cs="仿宋"/>
          <w:sz w:val="32"/>
          <w:szCs w:val="22"/>
        </w:rPr>
        <w:t>营业成本：指企业从事销售商品、提供劳务和让渡资产使用权等生产经营活动发生的实际成本。包括“主营业务成本”和“其他业务成本”。</w:t>
      </w:r>
    </w:p>
    <w:p w14:paraId="62450404">
      <w:pPr>
        <w:numPr>
          <w:ilvl w:val="0"/>
          <w:numId w:val="1"/>
        </w:numPr>
        <w:ind w:firstLine="640" w:firstLineChars="200"/>
        <w:rPr>
          <w:rFonts w:ascii="仿宋" w:hAnsi="仿宋" w:eastAsia="仿宋" w:cs="仿宋"/>
          <w:sz w:val="32"/>
          <w:szCs w:val="22"/>
        </w:rPr>
      </w:pPr>
      <w:r>
        <w:rPr>
          <w:rFonts w:hint="eastAsia" w:ascii="仿宋" w:hAnsi="仿宋" w:eastAsia="仿宋" w:cs="仿宋"/>
          <w:sz w:val="32"/>
          <w:szCs w:val="22"/>
        </w:rPr>
        <w:t>研发费用：指企业研究开发新产品、新业务、新技术所发生的各项费用，包括新产品设计费、原型系统开发设计、技术图书资料费、研究机构人员工资、研究设备折旧、技术研究有关的其他经费以及委托其他单位进行科研试制的费用。包括当年发生的，计入当期损益的研究阶段的支出，以及已经资本化的开发阶段的支出。</w:t>
      </w:r>
    </w:p>
    <w:p w14:paraId="0837F0E8">
      <w:pPr>
        <w:numPr>
          <w:ilvl w:val="0"/>
          <w:numId w:val="1"/>
        </w:numPr>
        <w:ind w:firstLine="640" w:firstLineChars="200"/>
        <w:rPr>
          <w:rFonts w:ascii="仿宋" w:hAnsi="仿宋" w:eastAsia="仿宋" w:cs="仿宋"/>
          <w:sz w:val="32"/>
          <w:szCs w:val="22"/>
        </w:rPr>
      </w:pPr>
      <w:r>
        <w:rPr>
          <w:rFonts w:hint="eastAsia" w:ascii="仿宋" w:hAnsi="仿宋" w:eastAsia="仿宋" w:cs="仿宋"/>
          <w:sz w:val="32"/>
          <w:szCs w:val="22"/>
        </w:rPr>
        <w:t>营业利润：以营业收入为基础，减去营业成本、营业税金及附加、销售费用、管理费用、财务费用、资产减值损失，加上公允价值变动收益（减去公允价值变动损失）和投资收益（减去投资损失），计算得到营业利润。</w:t>
      </w:r>
    </w:p>
    <w:p w14:paraId="3807B32C">
      <w:pPr>
        <w:numPr>
          <w:ilvl w:val="0"/>
          <w:numId w:val="1"/>
        </w:numPr>
        <w:ind w:firstLine="640" w:firstLineChars="200"/>
        <w:rPr>
          <w:rFonts w:ascii="仿宋" w:hAnsi="仿宋" w:eastAsia="仿宋" w:cs="仿宋"/>
          <w:sz w:val="32"/>
          <w:szCs w:val="22"/>
        </w:rPr>
      </w:pPr>
      <w:r>
        <w:rPr>
          <w:rFonts w:hint="eastAsia" w:ascii="仿宋" w:hAnsi="仿宋" w:eastAsia="仿宋" w:cs="仿宋"/>
          <w:sz w:val="32"/>
          <w:szCs w:val="22"/>
        </w:rPr>
        <w:t>利润总额：指企业在一定会计期间的经营成果，是生产经营过程中各种收入扣除各种耗费后的盈余。</w:t>
      </w:r>
    </w:p>
    <w:p w14:paraId="32E36883">
      <w:pPr>
        <w:numPr>
          <w:ilvl w:val="0"/>
          <w:numId w:val="1"/>
        </w:numPr>
        <w:ind w:firstLine="640" w:firstLineChars="200"/>
        <w:rPr>
          <w:rFonts w:ascii="仿宋" w:hAnsi="仿宋" w:eastAsia="仿宋" w:cs="仿宋"/>
          <w:sz w:val="32"/>
          <w:szCs w:val="22"/>
        </w:rPr>
      </w:pPr>
      <w:r>
        <w:rPr>
          <w:rFonts w:hint="eastAsia" w:ascii="仿宋" w:hAnsi="仿宋" w:eastAsia="仿宋" w:cs="仿宋"/>
          <w:sz w:val="32"/>
          <w:szCs w:val="22"/>
        </w:rPr>
        <w:t>纳税总额：企业在在我国境内实际缴纳的所有税款合计金额。计算范围包括全部税种。</w:t>
      </w:r>
    </w:p>
    <w:p w14:paraId="78D60C53">
      <w:pPr>
        <w:numPr>
          <w:ilvl w:val="0"/>
          <w:numId w:val="1"/>
        </w:numPr>
        <w:ind w:firstLine="640" w:firstLineChars="200"/>
        <w:rPr>
          <w:rFonts w:ascii="仿宋" w:hAnsi="仿宋" w:eastAsia="仿宋" w:cs="仿宋"/>
          <w:sz w:val="32"/>
          <w:szCs w:val="22"/>
        </w:rPr>
      </w:pPr>
      <w:r>
        <w:rPr>
          <w:rFonts w:hint="eastAsia" w:ascii="仿宋" w:hAnsi="仿宋" w:eastAsia="仿宋" w:cs="仿宋"/>
          <w:sz w:val="32"/>
          <w:szCs w:val="22"/>
        </w:rPr>
        <w:t>经营活动产生的现金流量净额：现金及现金等价物的净增加额减去筹资活动产生的现金流量净额再减去投资活动产生的现金流量净额。</w:t>
      </w:r>
    </w:p>
    <w:p w14:paraId="05F9E75A">
      <w:pPr>
        <w:numPr>
          <w:ilvl w:val="0"/>
          <w:numId w:val="1"/>
        </w:numPr>
        <w:ind w:firstLine="640" w:firstLineChars="200"/>
        <w:rPr>
          <w:rFonts w:ascii="仿宋" w:hAnsi="仿宋" w:eastAsia="仿宋" w:cs="仿宋"/>
          <w:sz w:val="32"/>
          <w:szCs w:val="22"/>
        </w:rPr>
      </w:pPr>
      <w:r>
        <w:rPr>
          <w:rFonts w:hint="eastAsia" w:ascii="仿宋" w:hAnsi="仿宋" w:eastAsia="仿宋" w:cs="仿宋"/>
          <w:sz w:val="32"/>
          <w:szCs w:val="22"/>
        </w:rPr>
        <w:t>员工总数：年度平均从业人数（含合并财务报表合并范围中所有企业的人数之和）。</w:t>
      </w:r>
    </w:p>
    <w:p w14:paraId="4BEEC80E">
      <w:pPr>
        <w:numPr>
          <w:ilvl w:val="0"/>
          <w:numId w:val="1"/>
        </w:numPr>
        <w:ind w:firstLine="640" w:firstLineChars="200"/>
        <w:rPr>
          <w:rFonts w:ascii="仿宋" w:hAnsi="仿宋" w:eastAsia="仿宋" w:cs="仿宋"/>
          <w:sz w:val="32"/>
          <w:szCs w:val="22"/>
        </w:rPr>
      </w:pPr>
      <w:r>
        <w:rPr>
          <w:rFonts w:hint="eastAsia" w:ascii="仿宋" w:hAnsi="仿宋" w:eastAsia="仿宋" w:cs="仿宋"/>
          <w:sz w:val="32"/>
          <w:szCs w:val="22"/>
        </w:rPr>
        <w:t>研发人数：年度平均主要从事研究和开发活动的从业人员数量（含合并财务报表合并范围中所有企业的研发人员人数之和）。</w:t>
      </w:r>
    </w:p>
    <w:p w14:paraId="177E8100">
      <w:pPr>
        <w:numPr>
          <w:ilvl w:val="0"/>
          <w:numId w:val="1"/>
        </w:numPr>
        <w:ind w:firstLine="640" w:firstLineChars="200"/>
        <w:rPr>
          <w:rFonts w:ascii="仿宋" w:hAnsi="仿宋" w:eastAsia="仿宋" w:cs="仿宋"/>
          <w:sz w:val="32"/>
          <w:szCs w:val="22"/>
        </w:rPr>
      </w:pPr>
      <w:r>
        <w:rPr>
          <w:rFonts w:hint="eastAsia" w:ascii="仿宋" w:hAnsi="仿宋" w:eastAsia="仿宋" w:cs="仿宋"/>
          <w:sz w:val="32"/>
          <w:szCs w:val="22"/>
        </w:rPr>
        <w:t>企业简介：简要介绍企业基本情况，该内容主要用于互联网企业综合实力评估结果向社会发布时，介绍入选企业使用。</w:t>
      </w:r>
    </w:p>
    <w:p w14:paraId="26CD36FA">
      <w:pPr>
        <w:numPr>
          <w:ilvl w:val="0"/>
          <w:numId w:val="1"/>
        </w:numPr>
        <w:ind w:firstLine="640" w:firstLineChars="200"/>
        <w:rPr>
          <w:rFonts w:ascii="仿宋" w:hAnsi="仿宋" w:eastAsia="仿宋" w:cs="仿宋"/>
          <w:sz w:val="32"/>
          <w:szCs w:val="22"/>
        </w:rPr>
      </w:pPr>
      <w:r>
        <w:rPr>
          <w:rFonts w:hint="eastAsia" w:ascii="仿宋" w:hAnsi="仿宋" w:eastAsia="仿宋" w:cs="仿宋"/>
          <w:sz w:val="32"/>
          <w:szCs w:val="22"/>
        </w:rPr>
        <w:t>创新情况：企业认为所有可以体现本企业在202</w:t>
      </w:r>
      <w:r>
        <w:rPr>
          <w:rFonts w:hint="eastAsia" w:ascii="仿宋" w:hAnsi="仿宋" w:eastAsia="仿宋" w:cs="仿宋"/>
          <w:sz w:val="32"/>
          <w:szCs w:val="22"/>
          <w:lang w:val="en-US" w:eastAsia="zh-CN"/>
        </w:rPr>
        <w:t>4</w:t>
      </w:r>
      <w:r>
        <w:rPr>
          <w:rFonts w:hint="eastAsia" w:ascii="仿宋" w:hAnsi="仿宋" w:eastAsia="仿宋" w:cs="仿宋"/>
          <w:sz w:val="32"/>
          <w:szCs w:val="22"/>
        </w:rPr>
        <w:t>年创新情况的信息均可在此填写，此处填写的内容在评价时会予以考虑。</w:t>
      </w:r>
    </w:p>
    <w:p w14:paraId="2F5F66A8">
      <w:pPr>
        <w:numPr>
          <w:ilvl w:val="0"/>
          <w:numId w:val="1"/>
        </w:numPr>
        <w:ind w:firstLine="640" w:firstLineChars="200"/>
        <w:rPr>
          <w:rFonts w:ascii="仿宋" w:hAnsi="仿宋" w:eastAsia="仿宋" w:cs="仿宋"/>
          <w:sz w:val="32"/>
          <w:szCs w:val="22"/>
        </w:rPr>
      </w:pPr>
      <w:r>
        <w:rPr>
          <w:rFonts w:hint="eastAsia" w:ascii="仿宋" w:hAnsi="仿宋" w:eastAsia="仿宋" w:cs="仿宋"/>
          <w:sz w:val="32"/>
          <w:szCs w:val="22"/>
        </w:rPr>
        <w:t>各项业务开展情况：企业认为所有可以展现本企业在202</w:t>
      </w:r>
      <w:r>
        <w:rPr>
          <w:rFonts w:hint="eastAsia" w:ascii="仿宋" w:hAnsi="仿宋" w:eastAsia="仿宋" w:cs="仿宋"/>
          <w:sz w:val="32"/>
          <w:szCs w:val="22"/>
          <w:lang w:val="en-US" w:eastAsia="zh-CN"/>
        </w:rPr>
        <w:t>4</w:t>
      </w:r>
      <w:r>
        <w:rPr>
          <w:rFonts w:hint="eastAsia" w:ascii="仿宋" w:hAnsi="仿宋" w:eastAsia="仿宋" w:cs="仿宋"/>
          <w:sz w:val="32"/>
          <w:szCs w:val="22"/>
        </w:rPr>
        <w:t>年业务发展情况的信息均可在此填写，此处填写的内容在评选时会予以考虑。</w:t>
      </w:r>
    </w:p>
    <w:p w14:paraId="2804229D">
      <w:pPr>
        <w:numPr>
          <w:ilvl w:val="0"/>
          <w:numId w:val="1"/>
        </w:numPr>
        <w:ind w:firstLine="640" w:firstLineChars="200"/>
        <w:rPr>
          <w:rFonts w:ascii="仿宋" w:hAnsi="仿宋" w:eastAsia="仿宋" w:cs="仿宋"/>
          <w:sz w:val="32"/>
          <w:szCs w:val="22"/>
        </w:rPr>
      </w:pPr>
      <w:r>
        <w:rPr>
          <w:rFonts w:hint="eastAsia" w:ascii="仿宋" w:hAnsi="仿宋" w:eastAsia="仿宋" w:cs="仿宋"/>
          <w:sz w:val="32"/>
          <w:szCs w:val="22"/>
        </w:rPr>
        <w:t>主要服务对象：即企业的主要客户类型，请从“个人”、“企业”、“两者兼有”三个类别中选择一项填写。如果</w:t>
      </w:r>
      <w:r>
        <w:rPr>
          <w:rFonts w:hint="eastAsia" w:ascii="仿宋" w:hAnsi="仿宋" w:eastAsia="仿宋" w:cs="仿宋"/>
          <w:sz w:val="32"/>
          <w:szCs w:val="36"/>
        </w:rPr>
        <w:t>填报</w:t>
      </w:r>
      <w:r>
        <w:rPr>
          <w:rFonts w:hint="eastAsia" w:ascii="仿宋" w:hAnsi="仿宋" w:eastAsia="仿宋" w:cs="仿宋"/>
          <w:sz w:val="32"/>
          <w:szCs w:val="22"/>
        </w:rPr>
        <w:t>企业70%以上的客户为个人或企业，则请选择对应项目，否则请选择“两者兼有”。</w:t>
      </w:r>
    </w:p>
    <w:p w14:paraId="199D7908">
      <w:pPr>
        <w:numPr>
          <w:ilvl w:val="0"/>
          <w:numId w:val="1"/>
        </w:numPr>
        <w:ind w:firstLine="640" w:firstLineChars="200"/>
        <w:rPr>
          <w:rFonts w:ascii="仿宋" w:hAnsi="仿宋" w:eastAsia="仿宋" w:cs="仿宋"/>
          <w:sz w:val="32"/>
          <w:szCs w:val="22"/>
        </w:rPr>
      </w:pPr>
      <w:r>
        <w:rPr>
          <w:rFonts w:hint="eastAsia" w:ascii="仿宋" w:hAnsi="仿宋" w:eastAsia="仿宋" w:cs="仿宋"/>
          <w:sz w:val="32"/>
          <w:szCs w:val="22"/>
        </w:rPr>
        <w:t>社会贡献：展现企业202</w:t>
      </w:r>
      <w:r>
        <w:rPr>
          <w:rFonts w:hint="eastAsia" w:ascii="仿宋" w:hAnsi="仿宋" w:eastAsia="仿宋" w:cs="仿宋"/>
          <w:sz w:val="32"/>
          <w:szCs w:val="22"/>
          <w:lang w:val="en-US" w:eastAsia="zh-CN"/>
        </w:rPr>
        <w:t>4</w:t>
      </w:r>
      <w:r>
        <w:rPr>
          <w:rFonts w:hint="eastAsia" w:ascii="仿宋" w:hAnsi="仿宋" w:eastAsia="仿宋" w:cs="仿宋"/>
          <w:sz w:val="32"/>
          <w:szCs w:val="22"/>
        </w:rPr>
        <w:t>年在各个领域中的突出社会贡献，领域包含且不限于主流价值观宣传、正能量传播、灵活就业、碳中和、乡村振兴、共同富裕、劳动者权益保障、适老化建设、环境保护、社会公益、行业自律以及参与部委重点工作任务等。介绍材料需标明贡献所属领域。</w:t>
      </w:r>
    </w:p>
    <w:p w14:paraId="27DE899C">
      <w:pPr>
        <w:numPr>
          <w:ilvl w:val="0"/>
          <w:numId w:val="1"/>
        </w:numPr>
        <w:ind w:firstLine="640" w:firstLineChars="200"/>
        <w:rPr>
          <w:rFonts w:ascii="仿宋" w:hAnsi="仿宋" w:eastAsia="仿宋" w:cs="仿宋"/>
          <w:sz w:val="32"/>
          <w:szCs w:val="22"/>
        </w:rPr>
      </w:pPr>
      <w:r>
        <w:rPr>
          <w:rFonts w:hint="eastAsia" w:ascii="仿宋" w:hAnsi="仿宋" w:eastAsia="仿宋" w:cs="仿宋"/>
          <w:sz w:val="32"/>
          <w:szCs w:val="22"/>
        </w:rPr>
        <w:t>行业表彰：企业在202</w:t>
      </w:r>
      <w:r>
        <w:rPr>
          <w:rFonts w:hint="eastAsia" w:ascii="仿宋" w:hAnsi="仿宋" w:eastAsia="仿宋" w:cs="仿宋"/>
          <w:sz w:val="32"/>
          <w:szCs w:val="22"/>
          <w:lang w:val="en-US" w:eastAsia="zh-CN"/>
        </w:rPr>
        <w:t>4</w:t>
      </w:r>
      <w:r>
        <w:rPr>
          <w:rFonts w:hint="eastAsia" w:ascii="仿宋" w:hAnsi="仿宋" w:eastAsia="仿宋" w:cs="仿宋"/>
          <w:sz w:val="32"/>
          <w:szCs w:val="22"/>
        </w:rPr>
        <w:t>年受到省部级单位的行业表彰情况，应包含奖项名称、发布单位及发布时间。</w:t>
      </w:r>
    </w:p>
    <w:p w14:paraId="0AFF7FBB">
      <w:pPr>
        <w:numPr>
          <w:ilvl w:val="0"/>
          <w:numId w:val="1"/>
        </w:numPr>
        <w:ind w:firstLine="640" w:firstLineChars="200"/>
        <w:rPr>
          <w:rFonts w:ascii="仿宋" w:hAnsi="仿宋" w:eastAsia="仿宋" w:cs="仿宋"/>
          <w:sz w:val="32"/>
          <w:szCs w:val="22"/>
        </w:rPr>
      </w:pPr>
      <w:r>
        <w:rPr>
          <w:rFonts w:hint="eastAsia" w:ascii="仿宋" w:hAnsi="仿宋" w:eastAsia="仿宋" w:cs="仿宋"/>
          <w:sz w:val="32"/>
          <w:szCs w:val="22"/>
        </w:rPr>
        <w:t>行政处罚：企业在202</w:t>
      </w:r>
      <w:r>
        <w:rPr>
          <w:rFonts w:hint="eastAsia" w:ascii="仿宋" w:hAnsi="仿宋" w:eastAsia="仿宋" w:cs="仿宋"/>
          <w:sz w:val="32"/>
          <w:szCs w:val="22"/>
          <w:lang w:val="en-US" w:eastAsia="zh-CN"/>
        </w:rPr>
        <w:t>4</w:t>
      </w:r>
      <w:r>
        <w:rPr>
          <w:rFonts w:hint="eastAsia" w:ascii="仿宋" w:hAnsi="仿宋" w:eastAsia="仿宋" w:cs="仿宋"/>
          <w:sz w:val="32"/>
          <w:szCs w:val="22"/>
        </w:rPr>
        <w:t>年受到行政机关或其他行政主体依法定职权和程序对违反行政法规尚未构成犯罪给予行政制裁的具体行政行为。</w:t>
      </w:r>
    </w:p>
    <w:p w14:paraId="1D5277CE">
      <w:pPr>
        <w:numPr>
          <w:ilvl w:val="0"/>
          <w:numId w:val="1"/>
        </w:numPr>
        <w:ind w:firstLine="640" w:firstLineChars="200"/>
        <w:rPr>
          <w:rFonts w:ascii="仿宋" w:hAnsi="仿宋" w:eastAsia="仿宋" w:cs="仿宋"/>
          <w:sz w:val="32"/>
          <w:szCs w:val="22"/>
        </w:rPr>
      </w:pPr>
      <w:r>
        <w:rPr>
          <w:rFonts w:hint="eastAsia" w:ascii="仿宋" w:hAnsi="仿宋" w:eastAsia="仿宋" w:cs="仿宋"/>
          <w:sz w:val="32"/>
          <w:szCs w:val="22"/>
        </w:rPr>
        <w:t>企业主要业务类别：指为企业级客户或消费者提供互联网服务的业务模式，请从下述业务模式中进行多项选择（最多选择三项，且按重要性排序）：基础业务、新型基础设施、软件服务、农业互联网、工业互联网、电子商务、实用工具、大文娱、互联网金融、搜索服务、生活服务、公共服务、社交网络、网络营销、安全服务。</w:t>
      </w:r>
    </w:p>
    <w:p w14:paraId="11893A76">
      <w:pPr>
        <w:numPr>
          <w:ilvl w:val="0"/>
          <w:numId w:val="1"/>
        </w:numPr>
        <w:ind w:firstLine="640" w:firstLineChars="200"/>
        <w:rPr>
          <w:rFonts w:ascii="仿宋" w:hAnsi="仿宋" w:eastAsia="仿宋" w:cs="仿宋"/>
          <w:sz w:val="32"/>
          <w:szCs w:val="22"/>
        </w:rPr>
      </w:pPr>
      <w:r>
        <w:rPr>
          <w:rFonts w:hint="eastAsia" w:ascii="仿宋" w:hAnsi="仿宋" w:eastAsia="仿宋" w:cs="仿宋"/>
          <w:sz w:val="32"/>
          <w:szCs w:val="22"/>
        </w:rPr>
        <w:t>拥有发明专利权（项）：截至202</w:t>
      </w:r>
      <w:r>
        <w:rPr>
          <w:rFonts w:hint="eastAsia" w:ascii="仿宋" w:hAnsi="仿宋" w:eastAsia="仿宋" w:cs="仿宋"/>
          <w:sz w:val="32"/>
          <w:szCs w:val="22"/>
          <w:lang w:val="en-US" w:eastAsia="zh-CN"/>
        </w:rPr>
        <w:t>4</w:t>
      </w:r>
      <w:r>
        <w:rPr>
          <w:rFonts w:hint="eastAsia" w:ascii="仿宋" w:hAnsi="仿宋" w:eastAsia="仿宋" w:cs="仿宋"/>
          <w:sz w:val="32"/>
          <w:szCs w:val="22"/>
        </w:rPr>
        <w:t>年底，企业持有的由我国或外国专利主管机关授予的，尚处于在法定保护期限内的</w:t>
      </w:r>
      <w:r>
        <w:rPr>
          <w:rFonts w:hint="eastAsia" w:ascii="仿宋" w:hAnsi="仿宋" w:eastAsia="仿宋" w:cs="仿宋"/>
          <w:b/>
          <w:bCs/>
          <w:sz w:val="32"/>
          <w:szCs w:val="22"/>
        </w:rPr>
        <w:t>发明专利权</w:t>
      </w:r>
      <w:r>
        <w:rPr>
          <w:rFonts w:hint="eastAsia" w:ascii="仿宋" w:hAnsi="仿宋" w:eastAsia="仿宋" w:cs="仿宋"/>
          <w:sz w:val="32"/>
          <w:szCs w:val="22"/>
        </w:rPr>
        <w:t>数量。特别注意：本项</w:t>
      </w:r>
      <w:r>
        <w:rPr>
          <w:rFonts w:hint="eastAsia" w:ascii="仿宋" w:hAnsi="仿宋" w:eastAsia="仿宋" w:cs="仿宋"/>
          <w:b/>
          <w:bCs/>
          <w:sz w:val="32"/>
          <w:szCs w:val="22"/>
        </w:rPr>
        <w:t>只统计</w:t>
      </w:r>
      <w:r>
        <w:rPr>
          <w:rFonts w:hint="eastAsia" w:ascii="仿宋" w:hAnsi="仿宋" w:eastAsia="仿宋" w:cs="仿宋"/>
          <w:sz w:val="32"/>
          <w:szCs w:val="22"/>
        </w:rPr>
        <w:t>发明专利数量，</w:t>
      </w:r>
      <w:r>
        <w:rPr>
          <w:rFonts w:hint="eastAsia" w:ascii="仿宋" w:hAnsi="仿宋" w:eastAsia="仿宋" w:cs="仿宋"/>
          <w:b/>
          <w:bCs/>
          <w:sz w:val="32"/>
          <w:szCs w:val="22"/>
        </w:rPr>
        <w:t>不包含</w:t>
      </w:r>
      <w:r>
        <w:rPr>
          <w:rFonts w:hint="eastAsia" w:ascii="仿宋" w:hAnsi="仿宋" w:eastAsia="仿宋" w:cs="仿宋"/>
          <w:sz w:val="32"/>
          <w:szCs w:val="22"/>
        </w:rPr>
        <w:t>实用新型、外观设计专利数量，</w:t>
      </w:r>
      <w:r>
        <w:rPr>
          <w:rFonts w:hint="eastAsia" w:ascii="仿宋" w:hAnsi="仿宋" w:eastAsia="仿宋" w:cs="仿宋"/>
          <w:b/>
          <w:bCs/>
          <w:sz w:val="32"/>
          <w:szCs w:val="22"/>
        </w:rPr>
        <w:t>也不包含</w:t>
      </w:r>
      <w:r>
        <w:rPr>
          <w:rFonts w:hint="eastAsia" w:ascii="仿宋" w:hAnsi="仿宋" w:eastAsia="仿宋" w:cs="仿宋"/>
          <w:sz w:val="32"/>
          <w:szCs w:val="22"/>
        </w:rPr>
        <w:t>版权（如软件著作权）数量。</w:t>
      </w:r>
    </w:p>
    <w:p w14:paraId="6FC9136C">
      <w:pPr>
        <w:numPr>
          <w:ilvl w:val="0"/>
          <w:numId w:val="1"/>
        </w:numPr>
        <w:ind w:firstLine="640" w:firstLineChars="200"/>
        <w:rPr>
          <w:rFonts w:ascii="仿宋" w:hAnsi="仿宋" w:eastAsia="仿宋" w:cs="仿宋"/>
          <w:sz w:val="32"/>
          <w:szCs w:val="22"/>
        </w:rPr>
      </w:pPr>
      <w:r>
        <w:rPr>
          <w:rFonts w:hint="eastAsia" w:ascii="仿宋" w:hAnsi="仿宋" w:eastAsia="仿宋" w:cs="仿宋"/>
          <w:sz w:val="32"/>
          <w:szCs w:val="22"/>
        </w:rPr>
        <w:t>签约企业用户数：当</w:t>
      </w:r>
      <w:r>
        <w:rPr>
          <w:rFonts w:hint="eastAsia" w:ascii="仿宋" w:hAnsi="仿宋" w:eastAsia="仿宋" w:cs="仿宋"/>
          <w:sz w:val="32"/>
          <w:szCs w:val="32"/>
        </w:rPr>
        <w:t>主要服务对象</w:t>
      </w:r>
      <w:r>
        <w:rPr>
          <w:rFonts w:hint="eastAsia" w:ascii="仿宋" w:hAnsi="仿宋" w:eastAsia="仿宋" w:cs="仿宋"/>
          <w:sz w:val="32"/>
          <w:szCs w:val="22"/>
        </w:rPr>
        <w:t>选填为“企业”时，需填写本项。签约企业用户数指在202</w:t>
      </w:r>
      <w:r>
        <w:rPr>
          <w:rFonts w:hint="eastAsia" w:ascii="仿宋" w:hAnsi="仿宋" w:eastAsia="仿宋" w:cs="仿宋"/>
          <w:sz w:val="32"/>
          <w:szCs w:val="22"/>
          <w:lang w:val="en-US" w:eastAsia="zh-CN"/>
        </w:rPr>
        <w:t>4</w:t>
      </w:r>
      <w:r>
        <w:rPr>
          <w:rFonts w:hint="eastAsia" w:ascii="仿宋" w:hAnsi="仿宋" w:eastAsia="仿宋" w:cs="仿宋"/>
          <w:sz w:val="32"/>
          <w:szCs w:val="22"/>
        </w:rPr>
        <w:t>年内，与</w:t>
      </w:r>
      <w:r>
        <w:rPr>
          <w:rFonts w:hint="eastAsia" w:ascii="仿宋" w:hAnsi="仿宋" w:eastAsia="仿宋" w:cs="仿宋"/>
          <w:sz w:val="32"/>
          <w:szCs w:val="32"/>
        </w:rPr>
        <w:t>填报</w:t>
      </w:r>
      <w:r>
        <w:rPr>
          <w:rFonts w:hint="eastAsia" w:ascii="仿宋" w:hAnsi="仿宋" w:eastAsia="仿宋" w:cs="仿宋"/>
          <w:sz w:val="32"/>
          <w:szCs w:val="22"/>
        </w:rPr>
        <w:t>企业签订合同（或处于合同存续期内），并与</w:t>
      </w:r>
      <w:r>
        <w:rPr>
          <w:rFonts w:hint="eastAsia" w:ascii="仿宋" w:hAnsi="仿宋" w:eastAsia="仿宋" w:cs="仿宋"/>
          <w:sz w:val="32"/>
          <w:szCs w:val="32"/>
        </w:rPr>
        <w:t>填报</w:t>
      </w:r>
      <w:r>
        <w:rPr>
          <w:rFonts w:hint="eastAsia" w:ascii="仿宋" w:hAnsi="仿宋" w:eastAsia="仿宋" w:cs="仿宋"/>
          <w:sz w:val="32"/>
          <w:szCs w:val="22"/>
        </w:rPr>
        <w:t>企业正常开展业务的企业客户数。企业用户指在工商注册的企业级单位，</w:t>
      </w:r>
      <w:r>
        <w:rPr>
          <w:rFonts w:hint="eastAsia" w:ascii="仿宋" w:hAnsi="仿宋" w:eastAsia="仿宋" w:cs="仿宋"/>
          <w:b/>
          <w:bCs/>
          <w:sz w:val="32"/>
          <w:szCs w:val="22"/>
        </w:rPr>
        <w:t>不包含</w:t>
      </w:r>
      <w:r>
        <w:rPr>
          <w:rFonts w:hint="eastAsia" w:ascii="仿宋" w:hAnsi="仿宋" w:eastAsia="仿宋" w:cs="仿宋"/>
          <w:sz w:val="32"/>
          <w:szCs w:val="22"/>
        </w:rPr>
        <w:t>商户或个人。单位为“个”。</w:t>
      </w:r>
    </w:p>
    <w:p w14:paraId="53DECFE9">
      <w:pPr>
        <w:numPr>
          <w:ilvl w:val="0"/>
          <w:numId w:val="1"/>
        </w:numPr>
        <w:ind w:firstLine="640" w:firstLineChars="200"/>
        <w:rPr>
          <w:rFonts w:ascii="仿宋" w:hAnsi="仿宋" w:eastAsia="仿宋" w:cs="仿宋"/>
          <w:sz w:val="32"/>
          <w:szCs w:val="22"/>
        </w:rPr>
      </w:pPr>
      <w:r>
        <w:rPr>
          <w:rFonts w:hint="eastAsia" w:ascii="仿宋" w:hAnsi="仿宋" w:eastAsia="仿宋" w:cs="仿宋"/>
          <w:sz w:val="32"/>
          <w:szCs w:val="22"/>
        </w:rPr>
        <w:t>桌面端日均覆盖用户数（DUV，万）：当</w:t>
      </w:r>
      <w:r>
        <w:rPr>
          <w:rFonts w:hint="eastAsia" w:ascii="仿宋" w:hAnsi="仿宋" w:eastAsia="仿宋" w:cs="仿宋"/>
          <w:sz w:val="32"/>
          <w:szCs w:val="32"/>
        </w:rPr>
        <w:t>主要服务对象</w:t>
      </w:r>
      <w:r>
        <w:rPr>
          <w:rFonts w:hint="eastAsia" w:ascii="仿宋" w:hAnsi="仿宋" w:eastAsia="仿宋" w:cs="仿宋"/>
          <w:sz w:val="32"/>
          <w:szCs w:val="22"/>
        </w:rPr>
        <w:t>选填为“个人”时，需填写本项。202</w:t>
      </w:r>
      <w:r>
        <w:rPr>
          <w:rFonts w:hint="eastAsia" w:ascii="仿宋" w:hAnsi="仿宋" w:eastAsia="仿宋" w:cs="仿宋"/>
          <w:sz w:val="32"/>
          <w:szCs w:val="22"/>
          <w:lang w:val="en-US" w:eastAsia="zh-CN"/>
        </w:rPr>
        <w:t>4</w:t>
      </w:r>
      <w:r>
        <w:rPr>
          <w:rFonts w:hint="eastAsia" w:ascii="仿宋" w:hAnsi="仿宋" w:eastAsia="仿宋" w:cs="仿宋"/>
          <w:sz w:val="32"/>
          <w:szCs w:val="22"/>
        </w:rPr>
        <w:t>年1月1日-12月31日期间，企业旗下活跃度</w:t>
      </w:r>
      <w:r>
        <w:rPr>
          <w:rFonts w:hint="eastAsia" w:ascii="仿宋" w:hAnsi="仿宋" w:eastAsia="仿宋" w:cs="仿宋"/>
          <w:b/>
          <w:bCs/>
          <w:sz w:val="32"/>
          <w:szCs w:val="22"/>
        </w:rPr>
        <w:t>最高</w:t>
      </w:r>
      <w:r>
        <w:rPr>
          <w:rFonts w:hint="eastAsia" w:ascii="仿宋" w:hAnsi="仿宋" w:eastAsia="仿宋" w:cs="仿宋"/>
          <w:sz w:val="32"/>
          <w:szCs w:val="22"/>
        </w:rPr>
        <w:t>的</w:t>
      </w:r>
      <w:r>
        <w:rPr>
          <w:rFonts w:hint="eastAsia" w:ascii="仿宋" w:hAnsi="仿宋" w:eastAsia="仿宋" w:cs="仿宋"/>
          <w:b/>
          <w:bCs/>
          <w:sz w:val="32"/>
          <w:szCs w:val="22"/>
        </w:rPr>
        <w:t>单一</w:t>
      </w:r>
      <w:r>
        <w:rPr>
          <w:rFonts w:hint="eastAsia" w:ascii="仿宋" w:hAnsi="仿宋" w:eastAsia="仿宋" w:cs="仿宋"/>
          <w:sz w:val="32"/>
          <w:szCs w:val="22"/>
        </w:rPr>
        <w:t>产品/服务的桌面端（包含PC网页端和PC客户端）日均覆盖用户数（等同于日均独立访问者数量，DUV）。单位为“万”。</w:t>
      </w:r>
    </w:p>
    <w:p w14:paraId="13EE4876">
      <w:pPr>
        <w:numPr>
          <w:ilvl w:val="0"/>
          <w:numId w:val="1"/>
        </w:numPr>
        <w:ind w:firstLine="640" w:firstLineChars="200"/>
        <w:rPr>
          <w:rFonts w:ascii="仿宋" w:hAnsi="仿宋" w:eastAsia="仿宋" w:cs="仿宋"/>
          <w:sz w:val="32"/>
          <w:szCs w:val="22"/>
        </w:rPr>
      </w:pPr>
      <w:r>
        <w:rPr>
          <w:rFonts w:hint="eastAsia" w:ascii="仿宋" w:hAnsi="仿宋" w:eastAsia="仿宋" w:cs="仿宋"/>
          <w:sz w:val="32"/>
          <w:szCs w:val="22"/>
        </w:rPr>
        <w:t>移动端日均活跃用户数（DAU，万）：当</w:t>
      </w:r>
      <w:r>
        <w:rPr>
          <w:rFonts w:hint="eastAsia" w:ascii="仿宋" w:hAnsi="仿宋" w:eastAsia="仿宋" w:cs="仿宋"/>
          <w:sz w:val="32"/>
          <w:szCs w:val="32"/>
        </w:rPr>
        <w:t>主要服务对象</w:t>
      </w:r>
      <w:r>
        <w:rPr>
          <w:rFonts w:hint="eastAsia" w:ascii="仿宋" w:hAnsi="仿宋" w:eastAsia="仿宋" w:cs="仿宋"/>
          <w:sz w:val="32"/>
          <w:szCs w:val="22"/>
        </w:rPr>
        <w:t>选填为“个人”时，需填写本项。202</w:t>
      </w:r>
      <w:r>
        <w:rPr>
          <w:rFonts w:hint="eastAsia" w:ascii="仿宋" w:hAnsi="仿宋" w:eastAsia="仿宋" w:cs="仿宋"/>
          <w:sz w:val="32"/>
          <w:szCs w:val="22"/>
          <w:lang w:val="en-US" w:eastAsia="zh-CN"/>
        </w:rPr>
        <w:t>4</w:t>
      </w:r>
      <w:r>
        <w:rPr>
          <w:rFonts w:hint="eastAsia" w:ascii="仿宋" w:hAnsi="仿宋" w:eastAsia="仿宋" w:cs="仿宋"/>
          <w:sz w:val="32"/>
          <w:szCs w:val="22"/>
        </w:rPr>
        <w:t>年1月1日-12月31日期间，企业旗下活跃度</w:t>
      </w:r>
      <w:r>
        <w:rPr>
          <w:rFonts w:hint="eastAsia" w:ascii="仿宋" w:hAnsi="仿宋" w:eastAsia="仿宋" w:cs="仿宋"/>
          <w:b/>
          <w:bCs/>
          <w:sz w:val="32"/>
          <w:szCs w:val="22"/>
        </w:rPr>
        <w:t>最高</w:t>
      </w:r>
      <w:r>
        <w:rPr>
          <w:rFonts w:hint="eastAsia" w:ascii="仿宋" w:hAnsi="仿宋" w:eastAsia="仿宋" w:cs="仿宋"/>
          <w:sz w:val="32"/>
          <w:szCs w:val="22"/>
        </w:rPr>
        <w:t>的</w:t>
      </w:r>
      <w:r>
        <w:rPr>
          <w:rFonts w:hint="eastAsia" w:ascii="仿宋" w:hAnsi="仿宋" w:eastAsia="仿宋" w:cs="仿宋"/>
          <w:b/>
          <w:bCs/>
          <w:sz w:val="32"/>
          <w:szCs w:val="22"/>
        </w:rPr>
        <w:t>单一</w:t>
      </w:r>
      <w:r>
        <w:rPr>
          <w:rFonts w:hint="eastAsia" w:ascii="仿宋" w:hAnsi="仿宋" w:eastAsia="仿宋" w:cs="仿宋"/>
          <w:sz w:val="32"/>
          <w:szCs w:val="22"/>
        </w:rPr>
        <w:t>产品/服务的移动端（包含移动网页端和移动APP）日活跃户数（DAU）。单位为“万”。</w:t>
      </w:r>
    </w:p>
    <w:p w14:paraId="4AB6B7F8">
      <w:pPr>
        <w:numPr>
          <w:ilvl w:val="0"/>
          <w:numId w:val="1"/>
        </w:numPr>
        <w:ind w:firstLine="640" w:firstLineChars="200"/>
        <w:rPr>
          <w:rFonts w:ascii="仿宋" w:hAnsi="仿宋" w:eastAsia="仿宋" w:cs="仿宋"/>
          <w:sz w:val="32"/>
          <w:szCs w:val="22"/>
        </w:rPr>
      </w:pPr>
      <w:r>
        <w:rPr>
          <w:rFonts w:hint="eastAsia" w:ascii="仿宋" w:hAnsi="仿宋" w:eastAsia="仿宋" w:cs="仿宋"/>
          <w:sz w:val="32"/>
          <w:szCs w:val="22"/>
        </w:rPr>
        <w:t>主要产品及服务：指企业提供的互联网主要产品或服务，以及推广的主要业务品牌。填报时按在营业收入的占比由大到小排列。“简介”请简要填写该产品的主要功能、特点等内容。</w:t>
      </w:r>
    </w:p>
    <w:p w14:paraId="09C41A34">
      <w:pPr>
        <w:numPr>
          <w:ilvl w:val="0"/>
          <w:numId w:val="1"/>
        </w:numPr>
        <w:ind w:firstLine="640" w:firstLineChars="200"/>
        <w:rPr>
          <w:rFonts w:ascii="仿宋" w:hAnsi="仿宋" w:eastAsia="仿宋" w:cs="仿宋"/>
          <w:sz w:val="32"/>
          <w:szCs w:val="22"/>
        </w:rPr>
      </w:pPr>
      <w:r>
        <w:rPr>
          <w:rFonts w:hint="eastAsia" w:ascii="仿宋" w:hAnsi="仿宋" w:eastAsia="仿宋" w:cs="仿宋"/>
          <w:sz w:val="32"/>
          <w:szCs w:val="22"/>
          <w:lang w:val="en-US" w:eastAsia="zh-CN"/>
        </w:rPr>
        <w:t>可持续发展战略：指企业式的可持续发展战略规划文件，其中应明确阐述企业在环境保护、资源节约方面的长期目标与短期行动计划，具体到目标设定的时间节点、预期达成的量化指标等，比如在未来 [X] 年内将单位产值能耗降低 [X]% 等。</w:t>
      </w:r>
    </w:p>
    <w:p w14:paraId="3AC177AE">
      <w:pPr>
        <w:numPr>
          <w:ilvl w:val="0"/>
          <w:numId w:val="1"/>
        </w:numPr>
        <w:ind w:firstLine="640" w:firstLineChars="200"/>
        <w:rPr>
          <w:rFonts w:hint="eastAsia" w:ascii="仿宋" w:hAnsi="仿宋" w:eastAsia="仿宋" w:cs="仿宋"/>
          <w:b w:val="0"/>
          <w:bCs w:val="0"/>
          <w:kern w:val="2"/>
          <w:sz w:val="32"/>
          <w:szCs w:val="22"/>
          <w:lang w:val="en-US" w:eastAsia="zh-CN"/>
        </w:rPr>
      </w:pPr>
      <w:r>
        <w:rPr>
          <w:rFonts w:hint="eastAsia" w:ascii="仿宋" w:hAnsi="仿宋" w:eastAsia="仿宋" w:cs="仿宋"/>
          <w:b w:val="0"/>
          <w:bCs w:val="0"/>
          <w:kern w:val="2"/>
          <w:sz w:val="32"/>
          <w:szCs w:val="22"/>
          <w:lang w:val="en-US" w:eastAsia="zh-CN"/>
        </w:rPr>
        <w:t>能源消费量：可通过提供能源消耗统计报表证明，提供近一年（2024 年）详细的能源消耗数据报表，涵盖水、电、气等各类能源的消耗总量、各季度及月度的具体用量，清晰展现能源消耗的结构与趋势。</w:t>
      </w:r>
    </w:p>
    <w:p w14:paraId="1D97B436">
      <w:pPr>
        <w:numPr>
          <w:ilvl w:val="0"/>
          <w:numId w:val="1"/>
        </w:numPr>
        <w:ind w:firstLine="640" w:firstLineChars="200"/>
        <w:rPr>
          <w:rFonts w:ascii="仿宋" w:hAnsi="仿宋" w:eastAsia="仿宋" w:cs="仿宋"/>
          <w:color w:val="FF0000"/>
          <w:sz w:val="32"/>
          <w:szCs w:val="22"/>
        </w:rPr>
      </w:pPr>
      <w:r>
        <w:rPr>
          <w:rFonts w:hint="eastAsia" w:ascii="仿宋" w:hAnsi="仿宋" w:eastAsia="仿宋" w:cs="仿宋"/>
          <w:sz w:val="32"/>
          <w:szCs w:val="22"/>
        </w:rPr>
        <w:t>节能减排</w:t>
      </w:r>
      <w:r>
        <w:rPr>
          <w:rFonts w:hint="eastAsia" w:ascii="仿宋" w:hAnsi="仿宋" w:eastAsia="仿宋" w:cs="仿宋"/>
          <w:sz w:val="32"/>
          <w:szCs w:val="22"/>
          <w:lang w:val="en-US" w:eastAsia="zh-CN"/>
        </w:rPr>
        <w:t>报告：指</w:t>
      </w:r>
      <w:r>
        <w:rPr>
          <w:rFonts w:hint="eastAsia" w:ascii="仿宋" w:hAnsi="仿宋" w:eastAsia="仿宋" w:cs="仿宋"/>
          <w:i w:val="0"/>
          <w:iCs w:val="0"/>
          <w:caps w:val="0"/>
          <w:spacing w:val="0"/>
          <w:sz w:val="32"/>
          <w:szCs w:val="22"/>
          <w:shd w:val="clear" w:color="auto" w:fill="auto"/>
        </w:rPr>
        <w:t>包括项目背景、实施过程、采用的技术手段、投入资金、项目前后能源消耗对比数据，以证明项目取得的实际成效。如企业对老旧设备进行节能改造，要说明改造前后设备能耗变化情况。</w:t>
      </w:r>
    </w:p>
    <w:p w14:paraId="4E5B8804">
      <w:pPr>
        <w:numPr>
          <w:ilvl w:val="0"/>
          <w:numId w:val="1"/>
        </w:numPr>
        <w:ind w:firstLine="640" w:firstLineChars="200"/>
        <w:rPr>
          <w:rFonts w:ascii="仿宋" w:hAnsi="仿宋" w:eastAsia="仿宋" w:cs="仿宋"/>
          <w:color w:val="FF0000"/>
          <w:sz w:val="32"/>
          <w:szCs w:val="22"/>
        </w:rPr>
      </w:pPr>
      <w:r>
        <w:rPr>
          <w:rFonts w:hint="eastAsia" w:ascii="仿宋" w:hAnsi="仿宋" w:eastAsia="仿宋" w:cs="仿宋"/>
          <w:sz w:val="32"/>
          <w:szCs w:val="22"/>
        </w:rPr>
        <w:t>估值：指</w:t>
      </w:r>
      <w:r>
        <w:rPr>
          <w:rFonts w:ascii="仿宋" w:hAnsi="仿宋" w:eastAsia="仿宋" w:cs="仿宋"/>
          <w:sz w:val="32"/>
          <w:szCs w:val="22"/>
        </w:rPr>
        <w:t>未上市公司</w:t>
      </w:r>
      <w:r>
        <w:rPr>
          <w:rFonts w:hint="eastAsia" w:ascii="仿宋" w:hAnsi="仿宋" w:eastAsia="仿宋" w:cs="仿宋"/>
          <w:sz w:val="32"/>
          <w:szCs w:val="22"/>
        </w:rPr>
        <w:t>的投资方</w:t>
      </w:r>
      <w:r>
        <w:rPr>
          <w:rFonts w:ascii="仿宋" w:hAnsi="仿宋" w:eastAsia="仿宋" w:cs="仿宋"/>
          <w:sz w:val="32"/>
          <w:szCs w:val="22"/>
        </w:rPr>
        <w:t>评估的</w:t>
      </w:r>
      <w:r>
        <w:rPr>
          <w:rFonts w:hint="eastAsia" w:ascii="仿宋" w:hAnsi="仿宋" w:eastAsia="仿宋" w:cs="仿宋"/>
          <w:sz w:val="32"/>
          <w:szCs w:val="22"/>
        </w:rPr>
        <w:t>该公司</w:t>
      </w:r>
      <w:r>
        <w:rPr>
          <w:rFonts w:ascii="仿宋" w:hAnsi="仿宋" w:eastAsia="仿宋" w:cs="仿宋"/>
          <w:sz w:val="32"/>
          <w:szCs w:val="22"/>
        </w:rPr>
        <w:t>市场价值，</w:t>
      </w:r>
      <w:r>
        <w:rPr>
          <w:rFonts w:hint="eastAsia" w:ascii="仿宋" w:hAnsi="仿宋" w:eastAsia="仿宋" w:cs="仿宋"/>
          <w:sz w:val="32"/>
          <w:szCs w:val="22"/>
        </w:rPr>
        <w:t>以</w:t>
      </w:r>
      <w:r>
        <w:rPr>
          <w:rFonts w:ascii="仿宋" w:hAnsi="仿宋" w:eastAsia="仿宋" w:cs="仿宋"/>
          <w:sz w:val="32"/>
          <w:szCs w:val="22"/>
        </w:rPr>
        <w:t>融资完成后的</w:t>
      </w:r>
      <w:r>
        <w:rPr>
          <w:rFonts w:hint="eastAsia" w:ascii="仿宋" w:hAnsi="仿宋" w:eastAsia="仿宋" w:cs="仿宋"/>
          <w:sz w:val="32"/>
          <w:szCs w:val="22"/>
        </w:rPr>
        <w:t>公开</w:t>
      </w:r>
      <w:r>
        <w:rPr>
          <w:rFonts w:ascii="仿宋" w:hAnsi="仿宋" w:eastAsia="仿宋" w:cs="仿宋"/>
          <w:sz w:val="32"/>
          <w:szCs w:val="22"/>
        </w:rPr>
        <w:t>披露</w:t>
      </w:r>
      <w:r>
        <w:rPr>
          <w:rFonts w:hint="eastAsia" w:ascii="仿宋" w:hAnsi="仿宋" w:eastAsia="仿宋" w:cs="仿宋"/>
          <w:sz w:val="32"/>
          <w:szCs w:val="22"/>
        </w:rPr>
        <w:t>或具有</w:t>
      </w:r>
      <w:r>
        <w:rPr>
          <w:rFonts w:ascii="仿宋" w:hAnsi="仿宋" w:eastAsia="仿宋" w:cs="仿宋"/>
          <w:sz w:val="32"/>
          <w:szCs w:val="22"/>
        </w:rPr>
        <w:t>投资方</w:t>
      </w:r>
      <w:r>
        <w:rPr>
          <w:rFonts w:hint="eastAsia" w:ascii="仿宋" w:hAnsi="仿宋" w:eastAsia="仿宋" w:cs="仿宋"/>
          <w:sz w:val="32"/>
          <w:szCs w:val="22"/>
        </w:rPr>
        <w:t>认证</w:t>
      </w:r>
      <w:r>
        <w:rPr>
          <w:rFonts w:ascii="仿宋" w:hAnsi="仿宋" w:eastAsia="仿宋" w:cs="仿宋"/>
          <w:sz w:val="32"/>
          <w:szCs w:val="22"/>
        </w:rPr>
        <w:t>的</w:t>
      </w:r>
      <w:r>
        <w:rPr>
          <w:rFonts w:hint="eastAsia" w:ascii="仿宋" w:hAnsi="仿宋" w:eastAsia="仿宋" w:cs="仿宋"/>
          <w:sz w:val="32"/>
          <w:szCs w:val="22"/>
        </w:rPr>
        <w:t>信息</w:t>
      </w:r>
      <w:r>
        <w:rPr>
          <w:rFonts w:ascii="仿宋" w:hAnsi="仿宋" w:eastAsia="仿宋" w:cs="仿宋"/>
          <w:sz w:val="32"/>
          <w:szCs w:val="22"/>
        </w:rPr>
        <w:t>为准</w:t>
      </w:r>
      <w:r>
        <w:rPr>
          <w:rFonts w:hint="eastAsia" w:ascii="仿宋" w:hAnsi="仿宋" w:eastAsia="仿宋" w:cs="仿宋"/>
          <w:sz w:val="32"/>
          <w:szCs w:val="22"/>
        </w:rPr>
        <w:t>（应</w:t>
      </w:r>
      <w:r>
        <w:rPr>
          <w:rFonts w:ascii="仿宋" w:hAnsi="仿宋" w:eastAsia="仿宋" w:cs="仿宋"/>
          <w:sz w:val="32"/>
          <w:szCs w:val="22"/>
        </w:rPr>
        <w:t>附上出处或证明</w:t>
      </w:r>
      <w:r>
        <w:rPr>
          <w:rFonts w:hint="eastAsia" w:ascii="仿宋" w:hAnsi="仿宋" w:eastAsia="仿宋" w:cs="仿宋"/>
          <w:sz w:val="32"/>
          <w:szCs w:val="22"/>
        </w:rPr>
        <w:t>）</w:t>
      </w:r>
      <w:r>
        <w:rPr>
          <w:rFonts w:ascii="仿宋" w:hAnsi="仿宋" w:eastAsia="仿宋" w:cs="仿宋"/>
          <w:sz w:val="32"/>
          <w:szCs w:val="22"/>
        </w:rPr>
        <w:t>。</w:t>
      </w:r>
      <w:r>
        <w:rPr>
          <w:rFonts w:hint="eastAsia" w:ascii="仿宋" w:hAnsi="仿宋" w:eastAsia="仿宋" w:cs="仿宋"/>
          <w:sz w:val="32"/>
          <w:szCs w:val="22"/>
        </w:rPr>
        <w:t>估值时间与相关融资轮次</w:t>
      </w:r>
      <w:r>
        <w:rPr>
          <w:rFonts w:ascii="仿宋" w:hAnsi="仿宋" w:eastAsia="仿宋" w:cs="仿宋"/>
          <w:sz w:val="32"/>
          <w:szCs w:val="22"/>
        </w:rPr>
        <w:t>时间</w:t>
      </w:r>
      <w:r>
        <w:rPr>
          <w:rFonts w:hint="eastAsia" w:ascii="仿宋" w:hAnsi="仿宋" w:eastAsia="仿宋" w:cs="仿宋"/>
          <w:sz w:val="32"/>
          <w:szCs w:val="22"/>
        </w:rPr>
        <w:t>保持</w:t>
      </w:r>
      <w:r>
        <w:rPr>
          <w:rFonts w:ascii="仿宋" w:hAnsi="仿宋" w:eastAsia="仿宋" w:cs="仿宋"/>
          <w:sz w:val="32"/>
          <w:szCs w:val="22"/>
        </w:rPr>
        <w:t>一致，历史估值尽量全面</w:t>
      </w:r>
      <w:r>
        <w:rPr>
          <w:rFonts w:hint="eastAsia" w:ascii="仿宋" w:hAnsi="仿宋" w:eastAsia="仿宋" w:cs="仿宋"/>
          <w:sz w:val="32"/>
          <w:szCs w:val="22"/>
        </w:rPr>
        <w:t>。无</w:t>
      </w:r>
      <w:r>
        <w:rPr>
          <w:rFonts w:ascii="仿宋" w:hAnsi="仿宋" w:eastAsia="仿宋" w:cs="仿宋"/>
          <w:sz w:val="32"/>
          <w:szCs w:val="22"/>
        </w:rPr>
        <w:t>估值信息</w:t>
      </w:r>
      <w:r>
        <w:rPr>
          <w:rFonts w:hint="eastAsia" w:ascii="仿宋" w:hAnsi="仿宋" w:eastAsia="仿宋" w:cs="仿宋"/>
          <w:sz w:val="32"/>
          <w:szCs w:val="22"/>
        </w:rPr>
        <w:t>的</w:t>
      </w:r>
      <w:r>
        <w:rPr>
          <w:rFonts w:ascii="仿宋" w:hAnsi="仿宋" w:eastAsia="仿宋" w:cs="仿宋"/>
          <w:sz w:val="32"/>
          <w:szCs w:val="22"/>
        </w:rPr>
        <w:t>公司</w:t>
      </w:r>
      <w:r>
        <w:rPr>
          <w:rFonts w:hint="eastAsia" w:ascii="仿宋" w:hAnsi="仿宋" w:eastAsia="仿宋" w:cs="仿宋"/>
          <w:sz w:val="32"/>
          <w:szCs w:val="22"/>
        </w:rPr>
        <w:t>，</w:t>
      </w:r>
      <w:r>
        <w:rPr>
          <w:rFonts w:ascii="仿宋" w:hAnsi="仿宋" w:eastAsia="仿宋" w:cs="仿宋"/>
          <w:sz w:val="32"/>
          <w:szCs w:val="22"/>
        </w:rPr>
        <w:t>可填报与自己业务可比</w:t>
      </w:r>
      <w:r>
        <w:rPr>
          <w:rFonts w:hint="eastAsia" w:ascii="仿宋" w:hAnsi="仿宋" w:eastAsia="仿宋" w:cs="仿宋"/>
          <w:sz w:val="32"/>
          <w:szCs w:val="22"/>
        </w:rPr>
        <w:t>的公司名称（优先</w:t>
      </w:r>
      <w:r>
        <w:rPr>
          <w:rFonts w:ascii="仿宋" w:hAnsi="仿宋" w:eastAsia="仿宋" w:cs="仿宋"/>
          <w:sz w:val="32"/>
          <w:szCs w:val="22"/>
        </w:rPr>
        <w:t>填报上市公司</w:t>
      </w:r>
      <w:r>
        <w:rPr>
          <w:rFonts w:hint="eastAsia" w:ascii="仿宋" w:hAnsi="仿宋" w:eastAsia="仿宋" w:cs="仿宋"/>
          <w:sz w:val="32"/>
          <w:szCs w:val="22"/>
        </w:rPr>
        <w:t>）</w:t>
      </w:r>
    </w:p>
    <w:p w14:paraId="13E3D27D">
      <w:pPr>
        <w:numPr>
          <w:ilvl w:val="0"/>
          <w:numId w:val="1"/>
        </w:numPr>
        <w:ind w:firstLine="640" w:firstLineChars="200"/>
        <w:rPr>
          <w:rFonts w:ascii="Times New Roman" w:hAnsi="Times New Roman" w:eastAsia="仿宋_GB2312" w:cs="Times New Roman"/>
          <w:sz w:val="32"/>
          <w:szCs w:val="32"/>
        </w:rPr>
      </w:pPr>
      <w:r>
        <w:rPr>
          <w:rFonts w:hint="eastAsia" w:ascii="仿宋" w:hAnsi="仿宋" w:eastAsia="仿宋" w:cs="仿宋"/>
          <w:sz w:val="32"/>
          <w:szCs w:val="22"/>
        </w:rPr>
        <w:t>市值：指上市公司的发行股份按市场价格计算出来的股票总价值，为每股股票的市场价格乘以发行总股数。多地</w:t>
      </w:r>
      <w:r>
        <w:rPr>
          <w:rFonts w:ascii="仿宋" w:hAnsi="仿宋" w:eastAsia="仿宋" w:cs="仿宋"/>
          <w:sz w:val="32"/>
          <w:szCs w:val="22"/>
        </w:rPr>
        <w:t>上市</w:t>
      </w:r>
      <w:r>
        <w:rPr>
          <w:rFonts w:hint="eastAsia" w:ascii="仿宋" w:hAnsi="仿宋" w:eastAsia="仿宋" w:cs="仿宋"/>
          <w:sz w:val="32"/>
          <w:szCs w:val="22"/>
        </w:rPr>
        <w:t>的</w:t>
      </w:r>
      <w:r>
        <w:rPr>
          <w:rFonts w:ascii="仿宋" w:hAnsi="仿宋" w:eastAsia="仿宋" w:cs="仿宋"/>
          <w:sz w:val="32"/>
          <w:szCs w:val="22"/>
        </w:rPr>
        <w:t>企业按其最初上市地行情计算。填报时间</w:t>
      </w:r>
      <w:r>
        <w:rPr>
          <w:rFonts w:hint="eastAsia" w:ascii="仿宋" w:hAnsi="仿宋" w:eastAsia="仿宋" w:cs="仿宋"/>
          <w:sz w:val="32"/>
          <w:szCs w:val="22"/>
        </w:rPr>
        <w:t>为</w:t>
      </w:r>
      <w:r>
        <w:rPr>
          <w:rFonts w:ascii="仿宋" w:hAnsi="仿宋" w:eastAsia="仿宋" w:cs="仿宋"/>
          <w:sz w:val="32"/>
          <w:szCs w:val="22"/>
        </w:rPr>
        <w:t>自然</w:t>
      </w:r>
      <w:bookmarkStart w:id="0" w:name="_GoBack"/>
      <w:bookmarkEnd w:id="0"/>
      <w:r>
        <w:rPr>
          <w:rFonts w:ascii="仿宋" w:hAnsi="仿宋" w:eastAsia="仿宋" w:cs="仿宋"/>
          <w:sz w:val="32"/>
          <w:szCs w:val="22"/>
        </w:rPr>
        <w:t>年度最后交易截止日收盘</w:t>
      </w:r>
      <w:r>
        <w:rPr>
          <w:rFonts w:hint="eastAsia" w:ascii="仿宋" w:hAnsi="仿宋" w:eastAsia="仿宋" w:cs="仿宋"/>
          <w:sz w:val="32"/>
          <w:szCs w:val="22"/>
        </w:rPr>
        <w:t>价</w:t>
      </w:r>
      <w:r>
        <w:rPr>
          <w:rFonts w:ascii="仿宋" w:hAnsi="仿宋" w:eastAsia="仿宋" w:cs="仿宋"/>
          <w:sz w:val="32"/>
          <w:szCs w:val="22"/>
        </w:rPr>
        <w:t>计算的市值。</w:t>
      </w:r>
    </w:p>
    <w:p w14:paraId="1AEC6059">
      <w:pPr>
        <w:numPr>
          <w:ilvl w:val="0"/>
          <w:numId w:val="1"/>
        </w:numPr>
        <w:ind w:firstLine="640" w:firstLineChars="200"/>
        <w:rPr>
          <w:rFonts w:ascii="Times New Roman" w:hAnsi="Times New Roman" w:eastAsia="仿宋_GB2312" w:cs="Times New Roman"/>
          <w:sz w:val="32"/>
          <w:szCs w:val="32"/>
        </w:rPr>
      </w:pPr>
      <w:r>
        <w:rPr>
          <w:rFonts w:hint="eastAsia" w:ascii="仿宋" w:hAnsi="仿宋" w:eastAsia="仿宋" w:cs="仿宋"/>
          <w:sz w:val="32"/>
          <w:szCs w:val="22"/>
        </w:rPr>
        <w:t>未来是否有投资意向：指企业在未来一年内，是否有对外投资或对内融资的意愿或计划。</w:t>
      </w:r>
    </w:p>
    <w:p w14:paraId="7BD75793"/>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5DA37">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B079291">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0B079291">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5C3F94"/>
    <w:multiLevelType w:val="singleLevel"/>
    <w:tmpl w:val="5E5C3F94"/>
    <w:lvl w:ilvl="0" w:tentative="0">
      <w:start w:val="1"/>
      <w:numFmt w:val="chineseCounting"/>
      <w:suff w:val="nothing"/>
      <w:lvlText w:val="%1、"/>
      <w:lvlJc w:val="left"/>
      <w:pPr>
        <w:ind w:left="0" w:firstLine="420"/>
      </w:pPr>
      <w:rPr>
        <w:rFonts w:ascii="仿宋" w:hAnsi="仿宋" w:eastAsia="仿宋"/>
        <w:color w:val="auto"/>
        <w:u w:val="none"/>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211C4B"/>
    <w:rsid w:val="213B4094"/>
    <w:rsid w:val="4130429A"/>
    <w:rsid w:val="73920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long_text1"/>
    <w:qFormat/>
    <w:uiPriority w:val="0"/>
    <w:rPr>
      <w:sz w:val="13"/>
      <w:szCs w:val="13"/>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2025-08-05T15:21:33Z</dcterms:created>
  <dc:creator>asus</dc:creator>
  <cp:lastModifiedBy>省互联网协会鲍立时19979968277</cp:lastModifiedBy>
  <dcterms:modified xsi:type="dcterms:W3CDTF">2025-08-05T15:21:51Z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eyJoZGlkIjoiYjFlZDcyZDI2MDUyNjRjZmVlYWZhYjI5NTI2YTE1NzYiLCJ1c2VySWQiOiI3MjIxNjUzODUifQ==</vt:lpwstr>
  </property>
  <property fmtid="{D5CDD505-2E9C-101B-9397-08002B2CF9AE}" pid="4" name="ICV">
    <vt:lpwstr>2888A81DF1D046B38681BF1738C3DA3C_12</vt:lpwstr>
  </property>
</Properties>
</file>