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Times New Roman" w:hAnsi="Times New Roman" w:eastAsia="仿宋"/>
          <w:sz w:val="32"/>
          <w:szCs w:val="32"/>
        </w:rPr>
      </w:pPr>
      <w:r>
        <w:rPr>
          <w:rFonts w:ascii="Times New Roman" w:hAnsi="Times New Roman" w:eastAsia="仿宋"/>
          <w:sz w:val="32"/>
          <w:szCs w:val="32"/>
        </w:rPr>
        <w:t>附件4：</w:t>
      </w:r>
    </w:p>
    <w:p>
      <w:pPr>
        <w:ind w:right="640"/>
        <w:rPr>
          <w:rFonts w:ascii="Times New Roman" w:hAnsi="Times New Roman" w:eastAsia="仿宋"/>
          <w:sz w:val="32"/>
          <w:szCs w:val="32"/>
        </w:rPr>
      </w:pPr>
    </w:p>
    <w:p>
      <w:pPr>
        <w:jc w:val="center"/>
        <w:rPr>
          <w:rStyle w:val="5"/>
          <w:rFonts w:ascii="Times New Roman" w:hAnsi="Times New Roman" w:eastAsia="黑体"/>
          <w:sz w:val="36"/>
          <w:szCs w:val="32"/>
        </w:rPr>
      </w:pPr>
      <w:r>
        <w:rPr>
          <w:rStyle w:val="5"/>
          <w:rFonts w:ascii="Times New Roman" w:hAnsi="Times New Roman" w:eastAsia="黑体"/>
          <w:sz w:val="36"/>
          <w:szCs w:val="32"/>
        </w:rPr>
        <w:t>20</w:t>
      </w:r>
      <w:r>
        <w:rPr>
          <w:rStyle w:val="5"/>
          <w:rFonts w:hint="eastAsia" w:ascii="Times New Roman" w:hAnsi="Times New Roman" w:eastAsia="黑体"/>
          <w:sz w:val="36"/>
          <w:szCs w:val="32"/>
          <w:lang w:val="en-US" w:eastAsia="zh-CN"/>
        </w:rPr>
        <w:t>21</w:t>
      </w:r>
      <w:r>
        <w:rPr>
          <w:rStyle w:val="5"/>
          <w:rFonts w:ascii="Times New Roman" w:hAnsi="Times New Roman" w:eastAsia="黑体"/>
          <w:sz w:val="36"/>
          <w:szCs w:val="32"/>
        </w:rPr>
        <w:t>年江西</w:t>
      </w:r>
      <w:r>
        <w:rPr>
          <w:rStyle w:val="5"/>
          <w:rFonts w:hint="eastAsia" w:ascii="Times New Roman" w:hAnsi="Times New Roman" w:eastAsia="黑体"/>
          <w:sz w:val="36"/>
          <w:szCs w:val="32"/>
        </w:rPr>
        <w:t>省互联网企业20强</w:t>
      </w:r>
      <w:r>
        <w:rPr>
          <w:rStyle w:val="5"/>
          <w:rFonts w:ascii="Times New Roman" w:hAnsi="Times New Roman" w:eastAsia="黑体"/>
          <w:sz w:val="36"/>
          <w:szCs w:val="32"/>
        </w:rPr>
        <w:t>申报表填表说明</w:t>
      </w:r>
    </w:p>
    <w:p>
      <w:pPr>
        <w:jc w:val="center"/>
        <w:rPr>
          <w:rFonts w:ascii="Times New Roman" w:hAnsi="Times New Roman" w:eastAsia="黑体"/>
          <w:sz w:val="32"/>
          <w:szCs w:val="32"/>
        </w:rPr>
      </w:pP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企业名称：请填写贵企业希望在评价结果上展现的名称，推荐使用集团名称。</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注册地址：请填写位于江西的主要实体的注册地址。请勿填写海外地址。</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纳税总额：企业在</w:t>
      </w:r>
      <w:bookmarkStart w:id="0" w:name="_GoBack"/>
      <w:bookmarkEnd w:id="0"/>
      <w:r>
        <w:rPr>
          <w:rFonts w:ascii="Times New Roman" w:hAnsi="Times New Roman" w:eastAsia="仿宋_GB2312"/>
          <w:sz w:val="32"/>
        </w:rPr>
        <w:t>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sz w:val="32"/>
        </w:rPr>
      </w:pPr>
      <w:r>
        <w:rPr>
          <w:rFonts w:ascii="Times New Roman" w:hAnsi="Times New Roman" w:eastAsia="仿宋_GB2312"/>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签约企业用户数：当申报维度选填为“企业”时，需填写本项。签约企业用户数指在20</w:t>
      </w:r>
      <w:r>
        <w:rPr>
          <w:rFonts w:hint="eastAsia" w:ascii="Times New Roman" w:hAnsi="Times New Roman" w:eastAsia="仿宋_GB2312"/>
          <w:sz w:val="32"/>
          <w:lang w:val="en-US" w:eastAsia="zh-CN"/>
        </w:rPr>
        <w:t>20</w:t>
      </w:r>
      <w:r>
        <w:rPr>
          <w:rFonts w:ascii="Times New Roman" w:hAnsi="Times New Roman" w:eastAsia="仿宋_GB2312"/>
          <w:sz w:val="32"/>
        </w:rPr>
        <w:t>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桌面端日均覆盖用户数（DUV，万）：当申报维度选填为“个人”时，需填写本项。20</w:t>
      </w:r>
      <w:r>
        <w:rPr>
          <w:rFonts w:hint="eastAsia" w:ascii="Times New Roman" w:hAnsi="Times New Roman" w:eastAsia="仿宋_GB2312"/>
          <w:sz w:val="32"/>
          <w:lang w:val="en-US" w:eastAsia="zh-CN"/>
        </w:rPr>
        <w:t>20</w:t>
      </w:r>
      <w:r>
        <w:rPr>
          <w:rFonts w:ascii="Times New Roman" w:hAnsi="Times New Roman" w:eastAsia="仿宋_GB2312"/>
          <w:sz w:val="32"/>
        </w:rPr>
        <w:t>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移动端日均活跃用户数（DAU，万）：当申报维度选填为“个人”时，需填写本项。20</w:t>
      </w:r>
      <w:r>
        <w:rPr>
          <w:rFonts w:hint="eastAsia" w:ascii="Times New Roman" w:hAnsi="Times New Roman" w:eastAsia="仿宋_GB2312"/>
          <w:sz w:val="32"/>
          <w:lang w:val="en-US" w:eastAsia="zh-CN"/>
        </w:rPr>
        <w:t>20</w:t>
      </w:r>
      <w:r>
        <w:rPr>
          <w:rFonts w:ascii="Times New Roman" w:hAnsi="Times New Roman" w:eastAsia="仿宋_GB2312"/>
          <w:sz w:val="32"/>
        </w:rPr>
        <w:t>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各项产品或服务的业务开展情况：企业认为所有可以展现本企业在20</w:t>
      </w:r>
      <w:r>
        <w:rPr>
          <w:rFonts w:hint="eastAsia" w:ascii="Times New Roman" w:hAnsi="Times New Roman" w:eastAsia="仿宋_GB2312"/>
          <w:sz w:val="32"/>
          <w:lang w:val="en-US" w:eastAsia="zh-CN"/>
        </w:rPr>
        <w:t>20</w:t>
      </w:r>
      <w:r>
        <w:rPr>
          <w:rFonts w:ascii="Times New Roman" w:hAnsi="Times New Roman" w:eastAsia="仿宋_GB2312"/>
          <w:sz w:val="32"/>
        </w:rPr>
        <w:t>年业务发展情况的信息均可在此填写，此处填写的内容在评价时会予以考虑。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拥有专利权（项）：截至20</w:t>
      </w:r>
      <w:r>
        <w:rPr>
          <w:rFonts w:hint="eastAsia" w:ascii="Times New Roman" w:hAnsi="Times New Roman" w:eastAsia="仿宋_GB2312"/>
          <w:sz w:val="32"/>
          <w:lang w:val="en-US" w:eastAsia="zh-CN"/>
        </w:rPr>
        <w:t>20</w:t>
      </w:r>
      <w:r>
        <w:rPr>
          <w:rFonts w:ascii="Times New Roman" w:hAnsi="Times New Roman" w:eastAsia="仿宋_GB2312"/>
          <w:sz w:val="32"/>
        </w:rPr>
        <w:t>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发明专利权（项）：截至20</w:t>
      </w:r>
      <w:r>
        <w:rPr>
          <w:rFonts w:hint="eastAsia" w:ascii="Times New Roman" w:hAnsi="Times New Roman" w:eastAsia="仿宋_GB2312"/>
          <w:sz w:val="32"/>
          <w:lang w:val="en-US" w:eastAsia="zh-CN"/>
        </w:rPr>
        <w:t>20</w:t>
      </w:r>
      <w:r>
        <w:rPr>
          <w:rFonts w:ascii="Times New Roman" w:hAnsi="Times New Roman" w:eastAsia="仿宋_GB2312"/>
          <w:sz w:val="32"/>
        </w:rPr>
        <w:t>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国家或行业标准（项）：截至20</w:t>
      </w:r>
      <w:r>
        <w:rPr>
          <w:rFonts w:hint="eastAsia" w:ascii="Times New Roman" w:hAnsi="Times New Roman" w:eastAsia="仿宋_GB2312"/>
          <w:sz w:val="32"/>
          <w:lang w:val="en-US" w:eastAsia="zh-CN"/>
        </w:rPr>
        <w:t>20</w:t>
      </w:r>
      <w:r>
        <w:rPr>
          <w:rFonts w:ascii="Times New Roman" w:hAnsi="Times New Roman" w:eastAsia="仿宋_GB2312"/>
          <w:sz w:val="32"/>
        </w:rPr>
        <w:t>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国际标准：截至20</w:t>
      </w:r>
      <w:r>
        <w:rPr>
          <w:rFonts w:hint="eastAsia" w:ascii="Times New Roman" w:hAnsi="Times New Roman" w:eastAsia="仿宋_GB2312"/>
          <w:sz w:val="32"/>
          <w:lang w:val="en-US" w:eastAsia="zh-CN"/>
        </w:rPr>
        <w:t>20</w:t>
      </w:r>
      <w:r>
        <w:rPr>
          <w:rFonts w:ascii="Times New Roman" w:hAnsi="Times New Roman" w:eastAsia="仿宋_GB2312"/>
          <w:sz w:val="32"/>
        </w:rPr>
        <w:t>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创新情况：企业认为所有可以体现本企业在20</w:t>
      </w:r>
      <w:r>
        <w:rPr>
          <w:rFonts w:hint="eastAsia" w:ascii="Times New Roman" w:hAnsi="Times New Roman" w:eastAsia="仿宋_GB2312"/>
          <w:sz w:val="32"/>
          <w:lang w:val="en-US" w:eastAsia="zh-CN"/>
        </w:rPr>
        <w:t>20</w:t>
      </w:r>
      <w:r>
        <w:rPr>
          <w:rFonts w:ascii="Times New Roman" w:hAnsi="Times New Roman" w:eastAsia="仿宋_GB2312"/>
          <w:sz w:val="32"/>
        </w:rPr>
        <w:t>年创新情况的信息均可在此填写，此处填写的内容在评价时会予以考虑。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企业简介：不超过400字的企业介绍，该内容主要用于互联网企业</w:t>
      </w:r>
      <w:r>
        <w:rPr>
          <w:rFonts w:hint="eastAsia" w:ascii="Times New Roman" w:hAnsi="Times New Roman" w:eastAsia="仿宋_GB2312"/>
          <w:sz w:val="32"/>
        </w:rPr>
        <w:t>20</w:t>
      </w:r>
      <w:r>
        <w:rPr>
          <w:rFonts w:ascii="Times New Roman" w:hAnsi="Times New Roman" w:eastAsia="仿宋_GB2312"/>
          <w:sz w:val="32"/>
        </w:rPr>
        <w:t>强结果向社会发布时，介绍入榜企业使用。</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rPr>
      </w:pPr>
    </w:p>
    <w:p>
      <w:pPr>
        <w:rPr>
          <w:rFonts w:ascii="Times New Roman" w:hAnsi="Times New Roman" w:eastAsia="仿宋_GB2312"/>
          <w:sz w:val="32"/>
        </w:rPr>
      </w:pPr>
    </w:p>
    <w:p>
      <w:pPr>
        <w:rPr>
          <w:rStyle w:val="5"/>
          <w:rFonts w:ascii="Times New Roman" w:hAnsi="Times New Roman" w:eastAsia="仿宋_GB2312"/>
          <w:sz w:val="32"/>
          <w:szCs w:val="32"/>
        </w:rPr>
      </w:pPr>
    </w:p>
    <w:p/>
    <w:p/>
    <w:sectPr>
      <w:footerReference r:id="rId3" w:type="default"/>
      <w:footerReference r:id="rId4" w:type="even"/>
      <w:pgSz w:w="11906" w:h="16838"/>
      <w:pgMar w:top="2098" w:right="1474" w:bottom="1701" w:left="1474" w:header="851" w:footer="13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711835" cy="230505"/>
                      </a:xfrm>
                      <a:prstGeom prst="rect">
                        <a:avLst/>
                      </a:prstGeom>
                      <a:noFill/>
                      <a:ln>
                        <a:noFill/>
                      </a:ln>
                      <a:effectLst/>
                    </wps:spPr>
                    <wps:txbx>
                      <w:txbxContent>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17</w:t>
                          </w:r>
                          <w:r>
                            <w:rPr>
                              <w:rFonts w:ascii="宋体" w:hAnsi="宋体"/>
                              <w:sz w:val="28"/>
                            </w:rPr>
                            <w:fldChar w:fldCharType="end"/>
                          </w:r>
                          <w:r>
                            <w:rPr>
                              <w:rFonts w:ascii="宋体" w:hAnsi="宋体"/>
                              <w:sz w:val="28"/>
                            </w:rPr>
                            <w:t xml:space="preserve"> —</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56.05pt;mso-position-horizontal:center;mso-position-horizontal-relative:margin;mso-wrap-style:none;z-index:251659264;mso-width-relative:page;mso-height-relative:page;" filled="f" stroked="f" coordsize="21600,21600" o:gfxdata="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BnF/NIAAAAEAQAADwAAAAAAAAABACAAAAAiAAAAZHJzL2Rvd25y&#10;ZXYueG1sUEsBAhQAFAAAAAgAh07iQOMDBc4EAgAAAwQAAA4AAAAAAAAAAQAgAAAAIQEAAGRycy9l&#10;Mm9Eb2MueG1sUEsFBgAAAAAGAAYAWQEAAJcFAAAAAA==&#10;">
              <v:fill on="f" focussize="0,0"/>
              <v:stroke on="f"/>
              <v:imagedata o:title=""/>
              <o:lock v:ext="edit" aspectratio="f"/>
              <v:textbox inset="0mm,0mm,0mm,0mm" style="mso-fit-shape-to-text:t;">
                <w:txbxContent>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17</w:t>
                    </w:r>
                    <w:r>
                      <w:rPr>
                        <w:rFonts w:ascii="宋体" w:hAnsi="宋体"/>
                        <w:sz w:val="28"/>
                      </w:rPr>
                      <w:fldChar w:fldCharType="end"/>
                    </w:r>
                    <w:r>
                      <w:rPr>
                        <w:rFonts w:ascii="宋体" w:hAnsi="宋体"/>
                        <w:sz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63101"/>
    <w:rsid w:val="1D980380"/>
    <w:rsid w:val="44E2145B"/>
    <w:rsid w:val="49685F1B"/>
    <w:rsid w:val="626900AE"/>
    <w:rsid w:val="675B6FF3"/>
    <w:rsid w:val="7293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long_text1"/>
    <w:qFormat/>
    <w:uiPriority w:val="0"/>
    <w:rPr>
      <w:sz w:val="13"/>
      <w:szCs w:val="1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2020-06-29T06:42:00Z</dcterms:created>
  <dc:creator>Administrator</dc:creator>
  <cp:lastModifiedBy>mmm</cp:lastModifiedBy>
  <dcterms:modified xsi:type="dcterms:W3CDTF">2021-05-28T01:53:39Z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9FBADD5CD5AE4B45AA00CB10D0567E40</vt:lpwstr>
  </property>
</Properties>
</file>